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835CC">
      <w:pPr>
        <w:widowControl w:val="0"/>
        <w:jc w:val="center"/>
        <w:rPr>
          <w:rFonts w:eastAsia="宋体"/>
          <w:b/>
          <w:bCs/>
          <w:sz w:val="44"/>
          <w:szCs w:val="44"/>
        </w:rPr>
      </w:pPr>
    </w:p>
    <w:p w14:paraId="5F34A587">
      <w:pPr>
        <w:widowControl w:val="0"/>
        <w:jc w:val="center"/>
        <w:rPr>
          <w:rFonts w:eastAsia="宋体"/>
          <w:b/>
          <w:bCs/>
          <w:sz w:val="44"/>
          <w:szCs w:val="44"/>
        </w:rPr>
      </w:pPr>
    </w:p>
    <w:p w14:paraId="01BF24C2">
      <w:pPr>
        <w:widowControl w:val="0"/>
        <w:jc w:val="center"/>
        <w:rPr>
          <w:rFonts w:eastAsia="宋体"/>
          <w:b/>
          <w:bCs/>
          <w:sz w:val="44"/>
          <w:szCs w:val="44"/>
        </w:rPr>
      </w:pPr>
    </w:p>
    <w:p w14:paraId="1CF1CB7E">
      <w:pPr>
        <w:widowControl w:val="0"/>
        <w:jc w:val="center"/>
        <w:rPr>
          <w:rFonts w:eastAsia="宋体"/>
          <w:b/>
          <w:bCs/>
          <w:sz w:val="44"/>
          <w:szCs w:val="44"/>
        </w:rPr>
      </w:pPr>
      <w:r>
        <w:rPr>
          <w:rFonts w:eastAsia="宋体"/>
          <w:b/>
          <w:bCs/>
          <w:sz w:val="44"/>
          <w:szCs w:val="44"/>
        </w:rPr>
        <w:t>关于进一步深化建设项目联合验收</w:t>
      </w:r>
    </w:p>
    <w:p w14:paraId="03187047">
      <w:pPr>
        <w:widowControl w:val="0"/>
        <w:jc w:val="center"/>
        <w:rPr>
          <w:rFonts w:eastAsia="宋体"/>
          <w:b/>
          <w:bCs/>
          <w:sz w:val="44"/>
          <w:szCs w:val="44"/>
        </w:rPr>
      </w:pPr>
      <w:r>
        <w:rPr>
          <w:rFonts w:eastAsia="宋体"/>
          <w:b/>
          <w:bCs/>
          <w:sz w:val="44"/>
          <w:szCs w:val="44"/>
        </w:rPr>
        <w:t>“一件事”的通知</w:t>
      </w:r>
      <w:bookmarkStart w:id="0" w:name="_GoBack"/>
      <w:bookmarkEnd w:id="0"/>
    </w:p>
    <w:p w14:paraId="67D91005">
      <w:pPr>
        <w:widowControl w:val="0"/>
        <w:jc w:val="center"/>
        <w:rPr>
          <w:rFonts w:hint="eastAsia" w:ascii="方正楷体_GBK" w:hAnsi="方正楷体_GBK" w:eastAsia="方正楷体_GBK" w:cs="方正楷体_GBK"/>
          <w:b/>
          <w:bCs/>
          <w:sz w:val="32"/>
          <w:szCs w:val="32"/>
          <w:lang w:eastAsia="zh-CN"/>
        </w:rPr>
      </w:pPr>
      <w:r>
        <w:rPr>
          <w:rFonts w:hint="eastAsia" w:ascii="方正楷体_GBK" w:hAnsi="方正楷体_GBK" w:eastAsia="方正楷体_GBK" w:cs="方正楷体_GBK"/>
          <w:b/>
          <w:bCs/>
          <w:sz w:val="32"/>
          <w:szCs w:val="32"/>
          <w:lang w:eastAsia="zh-CN"/>
        </w:rPr>
        <w:t>（征求意见稿）</w:t>
      </w:r>
    </w:p>
    <w:p w14:paraId="5B98138E">
      <w:pPr>
        <w:widowControl w:val="0"/>
        <w:rPr>
          <w:rFonts w:eastAsia="宋体"/>
          <w:b/>
          <w:bCs/>
          <w:sz w:val="44"/>
          <w:szCs w:val="44"/>
        </w:rPr>
      </w:pPr>
    </w:p>
    <w:p w14:paraId="74331E87">
      <w:pPr>
        <w:widowControl w:val="0"/>
        <w:ind w:firstLine="640" w:firstLineChars="200"/>
      </w:pPr>
      <w:r>
        <w:t>为全面落实《住房城乡建设部办公厅等关于深入推进建设项目联合验收“一件事”的实施意见》（建办厅〔2026〕17号）工作部署，巩固我省《辽宁省房屋建筑和市政基础设施工程联合验收管理办法》（辽住建〔2023〕58号）、《深入推进联合验收“一件事”实施方案》（辽住建〔2024〕42号）实施成果，补齐改革短板、拓展服务范围、强化数字赋能、健全监管体系，结合我省工程建设项目联合验收工作实际，现将有关事项通知如下。</w:t>
      </w:r>
    </w:p>
    <w:p w14:paraId="6827201F">
      <w:pPr>
        <w:widowControl w:val="0"/>
        <w:ind w:firstLine="640" w:firstLineChars="200"/>
        <w:rPr>
          <w:rFonts w:eastAsia="黑体"/>
        </w:rPr>
      </w:pPr>
      <w:r>
        <w:rPr>
          <w:rFonts w:eastAsia="黑体"/>
        </w:rPr>
        <w:t>一、工作目标</w:t>
      </w:r>
    </w:p>
    <w:p w14:paraId="40082180">
      <w:pPr>
        <w:widowControl w:val="0"/>
        <w:ind w:firstLine="640" w:firstLineChars="200"/>
      </w:pPr>
      <w:r>
        <w:t>坚持沿用现有流程、对标国家要求、细化落地举措、提升服务质效原则，持续推行“统一申报、一表填报、一口受理、联合勘验、并行推进、信息共享、限时办结、一书通用”验收模式。在严格遵守我省联合验收办理时限、材料审查、现场核验、整改复验等既定规则基础上，拓展验收事项、规范分批验收、打通数据壁垒、创新监管方式，全面实现联合验收标准化、数字化、便利化。</w:t>
      </w:r>
    </w:p>
    <w:p w14:paraId="12F9F5FB">
      <w:pPr>
        <w:widowControl w:val="0"/>
        <w:ind w:firstLine="640" w:firstLineChars="200"/>
      </w:pPr>
      <w:r>
        <w:t>2026年10月底前，全面实现建设工程联合验收“一窗受理”、“联合勘验”、“一网通办”；2027年6月底前，推动实现建设项目联合验收数据跨部门、跨层级高效共享与实时回流，协同推进审批服务、事中事后监管，探索智慧监管、无感监管。</w:t>
      </w:r>
    </w:p>
    <w:p w14:paraId="1A5E66CB">
      <w:pPr>
        <w:widowControl w:val="0"/>
        <w:ind w:firstLine="640" w:firstLineChars="200"/>
        <w:rPr>
          <w:rFonts w:eastAsia="黑体"/>
        </w:rPr>
      </w:pPr>
      <w:r>
        <w:rPr>
          <w:rFonts w:eastAsia="黑体"/>
        </w:rPr>
        <w:t>二、适用范围</w:t>
      </w:r>
    </w:p>
    <w:p w14:paraId="329A2D99">
      <w:pPr>
        <w:widowControl w:val="0"/>
        <w:ind w:firstLine="640" w:firstLineChars="200"/>
      </w:pPr>
      <w:r>
        <w:t>建设项目联合验收“一件事”适用于取得建筑工程施工许可证的新建、改建（含装饰装修）、扩建房屋建筑工程和市政基础设施工程，联合验收事项包括：</w:t>
      </w:r>
    </w:p>
    <w:p w14:paraId="5FD414BB">
      <w:pPr>
        <w:widowControl w:val="0"/>
        <w:ind w:firstLine="640" w:firstLineChars="200"/>
      </w:pPr>
      <w:r>
        <w:t>1.房屋建筑和市政基础设施工程竣工验收备案（建设工程竣工验收备案）；</w:t>
      </w:r>
    </w:p>
    <w:p w14:paraId="662C3514">
      <w:pPr>
        <w:widowControl w:val="0"/>
        <w:ind w:firstLine="640" w:firstLineChars="200"/>
      </w:pPr>
      <w:r>
        <w:t>2.建设工程消防验收（备案）；</w:t>
      </w:r>
    </w:p>
    <w:p w14:paraId="48FD36BA">
      <w:pPr>
        <w:widowControl w:val="0"/>
        <w:ind w:firstLine="640" w:firstLineChars="200"/>
      </w:pPr>
      <w:r>
        <w:t>3.规划核实和土地核验；</w:t>
      </w:r>
    </w:p>
    <w:p w14:paraId="35295E14">
      <w:pPr>
        <w:widowControl w:val="0"/>
        <w:ind w:firstLine="640" w:firstLineChars="200"/>
      </w:pPr>
      <w:r>
        <w:t>4.人防工程竣工验收备案；</w:t>
      </w:r>
    </w:p>
    <w:p w14:paraId="0F0AFD4F">
      <w:pPr>
        <w:widowControl w:val="0"/>
        <w:ind w:firstLine="640" w:firstLineChars="200"/>
      </w:pPr>
      <w:r>
        <w:t>5.建设工程档案验收；</w:t>
      </w:r>
    </w:p>
    <w:p w14:paraId="33A48396">
      <w:pPr>
        <w:widowControl w:val="0"/>
        <w:ind w:firstLine="640" w:firstLineChars="200"/>
      </w:pPr>
      <w:r>
        <w:t>6.公众聚集场所投入使用或营业前消防安全检查。</w:t>
      </w:r>
    </w:p>
    <w:p w14:paraId="4958DAB2">
      <w:pPr>
        <w:widowControl w:val="0"/>
        <w:ind w:firstLine="640" w:firstLineChars="200"/>
      </w:pPr>
      <w:r>
        <w:t>各地可结合实际，将其他验收事项纳入联合验收。</w:t>
      </w:r>
    </w:p>
    <w:p w14:paraId="70CACA42">
      <w:pPr>
        <w:widowControl w:val="0"/>
        <w:ind w:firstLine="640" w:firstLineChars="200"/>
        <w:rPr>
          <w:rFonts w:eastAsia="黑体"/>
        </w:rPr>
      </w:pPr>
      <w:r>
        <w:rPr>
          <w:rFonts w:eastAsia="黑体"/>
        </w:rPr>
        <w:t>三、主要任务</w:t>
      </w:r>
    </w:p>
    <w:p w14:paraId="2EBE3FE3">
      <w:pPr>
        <w:widowControl w:val="0"/>
        <w:ind w:firstLine="643" w:firstLineChars="200"/>
      </w:pPr>
      <w:r>
        <w:rPr>
          <w:rFonts w:eastAsia="华文楷体"/>
          <w:b/>
          <w:bCs/>
        </w:rPr>
        <w:t>（一）优化“一窗受理”服务。</w:t>
      </w:r>
      <w:r>
        <w:t>各地住房城乡建设部门要会同自然资源、人防、数据管理、消防救援等部门推动建设项目联合验收“一窗受理”，依托工程建设项目审批管理系统（以下简称审批系统）建立、完善建设项目联合验收“一件事”专区，实现联合验收与竣工验收备案同步申请、材料上传、进度查询、文书下载全流程线上办理。通过审批系统加强对建设项目联合验收“一件事”从申报到办结全过程的监督管理，推动同一事项无差别受理、同标准办理，整治“体外循环”和“隐性审批”。</w:t>
      </w:r>
    </w:p>
    <w:p w14:paraId="53A5AF52">
      <w:pPr>
        <w:widowControl w:val="0"/>
        <w:ind w:firstLine="643" w:firstLineChars="200"/>
      </w:pPr>
      <w:r>
        <w:rPr>
          <w:rFonts w:eastAsia="华文楷体"/>
          <w:b/>
          <w:bCs/>
        </w:rPr>
        <w:t>（二）探索“一张表单”管理。</w:t>
      </w:r>
      <w:r>
        <w:t>各地要探索将建设项目联合验收事项纳入“一张表单”管理，优化完善信息填写、核验等功能，按照自愿申请的原则，指导建设单位根据需求灵活选择验收事项，系统自动组合为个性化的“一张表单”，自动获取系统数据并填充申请表单。各地要梳理本地区建设项目联合验收“一件事”涉及政务服务事项申请条件、申请材料等要素，制定公开办事指南。</w:t>
      </w:r>
    </w:p>
    <w:p w14:paraId="1643BE0D">
      <w:pPr>
        <w:widowControl w:val="0"/>
        <w:ind w:firstLine="643" w:firstLineChars="200"/>
      </w:pPr>
      <w:r>
        <w:rPr>
          <w:rFonts w:eastAsia="华文楷体"/>
          <w:b/>
          <w:bCs/>
        </w:rPr>
        <w:t>（三）健全联合勘验机制。</w:t>
      </w:r>
      <w:r>
        <w:t>各地要建立住房城乡建设部门牵头，自然资源、人防、消防救援等部门共同参与的联合勘验机制。正式受理项目申请后，各部门原则上统一时间、统一人员开展一次性联合现场勘验；因专业分工确无法共同到场的，须在规定时限内单独开展现场查验，并及时反馈勘验意见，不得拖延验收进度。联合勘验结束后，牵头部门汇总各部门专项验收意见，一次性书面（线上）告知建设单位整体验收结论。验收未通过的，明确未达标事项、整改依据、整改标准；建设单位完成整改后，仅针对不合格事项申请专项复验，属于竣工验收备案法定要件的事项复验合格，即可同步办结竣工验收备案；全部申请的联合验收事项经复验合格，方可视为联合验收整体通过。但公众聚集场所投入使用或营业前消防安全检查未通过，不影响竣工验收备案办结，但不视为全部联合验收事项通过。</w:t>
      </w:r>
    </w:p>
    <w:p w14:paraId="3FDEA35B">
      <w:pPr>
        <w:widowControl w:val="0"/>
        <w:ind w:firstLine="643" w:firstLineChars="200"/>
      </w:pPr>
      <w:r>
        <w:rPr>
          <w:rFonts w:eastAsia="华文楷体"/>
          <w:b/>
          <w:bCs/>
        </w:rPr>
        <w:t>（四）有序推行分批验收。</w:t>
      </w:r>
      <w:r>
        <w:t>各地住房城乡建设部门可根据项目实际，牵头对纳入重点投资项目清单、急需投产使用的建设项目，在严守工程安全底线前提下，探索推行分批验收。验收范围以建设工程规划许可证、建设工程施工许可证中载明的可满足工程整体安全和独立使用功能的单位工程为最小单位。申请分批验收的单位工程，应已通过建设单位组织的工程质量竣工验收，并符合规划、消防、档案等专项验收相关要求。涉及人防工程的，应确保人防工程整体完整性，并具备独立的竣工验收条件。分期建设的最后一期验收时，须完成整体规划核实与土地核验。</w:t>
      </w:r>
    </w:p>
    <w:p w14:paraId="5B2DC175">
      <w:pPr>
        <w:widowControl w:val="0"/>
        <w:ind w:firstLine="643" w:firstLineChars="200"/>
      </w:pPr>
      <w:r>
        <w:rPr>
          <w:rFonts w:eastAsia="华文楷体"/>
          <w:b/>
          <w:bCs/>
        </w:rPr>
        <w:t>（五）推行备案电子证照。</w:t>
      </w:r>
      <w:r>
        <w:t>全省房屋建筑和市政基础设施工程竣工验收备案实行电子证照</w:t>
      </w:r>
      <w:r>
        <w:rPr>
          <w:highlight w:val="none"/>
        </w:rPr>
        <w:t>（</w:t>
      </w:r>
      <w:r>
        <w:rPr>
          <w:rFonts w:hint="eastAsia"/>
          <w:highlight w:val="none"/>
          <w:lang w:eastAsia="zh-CN"/>
        </w:rPr>
        <w:t>格式</w:t>
      </w:r>
      <w:r>
        <w:rPr>
          <w:highlight w:val="none"/>
        </w:rPr>
        <w:t>见附件</w:t>
      </w:r>
      <w:r>
        <w:rPr>
          <w:rFonts w:hint="eastAsia"/>
          <w:highlight w:val="none"/>
          <w:lang w:eastAsia="zh-CN"/>
        </w:rPr>
        <w:t>，供各地参考</w:t>
      </w:r>
      <w:r>
        <w:rPr>
          <w:highlight w:val="none"/>
        </w:rPr>
        <w:t>），</w:t>
      </w:r>
      <w:r>
        <w:t>电子证照与纸质证照具有同等法律效力。实行联合验收与竣工验收备案一次性申请，分批次办结，竣工验收备案要件从平台自动提取，工程质量监督依照规定上传平台。联合验收通过出具意见后，无需建设主体另行申请，竣工验收备案同步完成，审批系统自动生成竣工验收备案表电子证照。各地要加强系统对接和数据共享，保证建设主体能够通过系统共享各类行政审批信息或者政务服务信息，确保电子证照生成及时、信息准确、查询便捷，实现“验收即备案、备案即拿证”，切实提升工程建设项目政务服务效能。建设单位可自行下载、打印和使用电子证照，各级主管部门原则上不再制作和发放纸质版竣工验收备案表。</w:t>
      </w:r>
    </w:p>
    <w:p w14:paraId="056398D3">
      <w:pPr>
        <w:widowControl w:val="0"/>
        <w:ind w:firstLine="643" w:firstLineChars="200"/>
      </w:pPr>
      <w:r>
        <w:rPr>
          <w:rFonts w:eastAsia="华文楷体"/>
          <w:b/>
          <w:bCs/>
        </w:rPr>
        <w:t>（六）深化数据互联互通。</w:t>
      </w:r>
      <w:r>
        <w:t>各地要按照住房城乡建设部编制的联合验收申请表、限期整改通知单、联合验收结果通知书、分批验收结论单等电子文件标准，同步完善系统功能，实现上述电子文书的规范生成与流转。深化数据共享应用，实现线上线下收件、流程有效交互，数据自动流转。通过信息共享和电子证照应用，落实政府部门核发的材料免于提交、能够通过数据共享核验的事项免于提交证明材料、能够提供电子证照的免于提交实体证照，实现申请材料免于提交率、表单字段预填率达到40%以上。在审批系统内共享建设用地规划许可证、建设工程规划许可证、特殊建设工程消防设计审查意见书、建筑工程施工许可证、工程质量监督报告、联合验收意见等信息，有效提升建设项目竣工手续办理便捷性。</w:t>
      </w:r>
    </w:p>
    <w:p w14:paraId="58EA78AB">
      <w:pPr>
        <w:widowControl w:val="0"/>
        <w:ind w:firstLine="643" w:firstLineChars="200"/>
        <w:rPr>
          <w:highlight w:val="none"/>
        </w:rPr>
      </w:pPr>
      <w:r>
        <w:rPr>
          <w:rFonts w:eastAsia="华文楷体"/>
          <w:b/>
          <w:bCs/>
        </w:rPr>
        <w:t>（七）加强事中事后监管。</w:t>
      </w:r>
      <w:r>
        <w:t>各地有关部门要加强对纳入联合验收项目的事中事后监管，督促建设、勘察、设计、施工、监理五方主体严格落实工程质量、安全生产主体责任。鼓励有条件的地区在保证安全的前提下，探索运用物联网、视频AI分析、卫星遥感等技术手段，对验收合格区域的使用情况、整改落实情况进行动态监测，逐步实现智慧监管、无感监管。对实行分批验收的项目，要加强对未验收区域的施工安全监管，确保与投用区域安全隔离。对已完成竣工验收备案，但公众聚集场所投入使用或营业前消防安全检查尚未通过的项目</w:t>
      </w:r>
      <w:r>
        <w:rPr>
          <w:highlight w:val="none"/>
        </w:rPr>
        <w:t>，要督促建设单位不得</w:t>
      </w:r>
      <w:r>
        <w:rPr>
          <w:rFonts w:hint="eastAsia"/>
          <w:highlight w:val="none"/>
        </w:rPr>
        <w:t>未经许可</w:t>
      </w:r>
      <w:r>
        <w:rPr>
          <w:highlight w:val="none"/>
        </w:rPr>
        <w:t>擅自投入营业使用。</w:t>
      </w:r>
    </w:p>
    <w:p w14:paraId="362423CB">
      <w:pPr>
        <w:widowControl w:val="0"/>
        <w:ind w:firstLine="640" w:firstLineChars="200"/>
        <w:rPr>
          <w:rFonts w:eastAsia="黑体"/>
        </w:rPr>
      </w:pPr>
      <w:r>
        <w:rPr>
          <w:rFonts w:eastAsia="黑体"/>
          <w:highlight w:val="none"/>
        </w:rPr>
        <w:t>四、</w:t>
      </w:r>
      <w:r>
        <w:rPr>
          <w:rFonts w:eastAsia="黑体"/>
        </w:rPr>
        <w:t>组织保障</w:t>
      </w:r>
    </w:p>
    <w:p w14:paraId="237DFD43">
      <w:pPr>
        <w:widowControl w:val="0"/>
        <w:ind w:firstLine="643" w:firstLineChars="200"/>
      </w:pPr>
      <w:r>
        <w:rPr>
          <w:rFonts w:eastAsia="华文楷体"/>
          <w:b/>
          <w:bCs/>
        </w:rPr>
        <w:t>（一）强化组织领导。</w:t>
      </w:r>
      <w:r>
        <w:t>各地有关部门要充分认识深化建设项目联合验收“一件事”是进一步优化政务服务、提升行政效能、优化营商环境的重要抓手，要切实加强组织领导，明确责任分工，确保联合验收各项工作顺利推进、落地见效。要建立健全协调沟通机制，适时召开联席会议，研究解决联合验收工作中遇到的问题和困难。</w:t>
      </w:r>
    </w:p>
    <w:p w14:paraId="3369B700">
      <w:pPr>
        <w:widowControl w:val="0"/>
        <w:ind w:firstLine="643" w:firstLineChars="200"/>
      </w:pPr>
      <w:r>
        <w:rPr>
          <w:rFonts w:eastAsia="华文楷体"/>
          <w:b/>
          <w:bCs/>
        </w:rPr>
        <w:t>（二）加强协同配合。</w:t>
      </w:r>
      <w:r>
        <w:t>各地有关部门要树立大局意识和服务意识，密切配合，高效推进联合验收工作。在联合验收过程中，要严格按照各自职责和验收标准开展工作，不得推诿扯皮、拖延验收时间。要加强信息共享，通过审批系统实现数据互联互通，避免建设单位重复提交材料。</w:t>
      </w:r>
    </w:p>
    <w:p w14:paraId="799E55A9">
      <w:pPr>
        <w:widowControl w:val="0"/>
        <w:ind w:firstLine="643" w:firstLineChars="200"/>
      </w:pPr>
      <w:r>
        <w:rPr>
          <w:rFonts w:eastAsia="华文楷体"/>
          <w:b/>
          <w:bCs/>
        </w:rPr>
        <w:t>（三）优化服务质量。</w:t>
      </w:r>
      <w:r>
        <w:t>各地有关部门要加强对建设单位的业务指导和服务，主动告知联合验收的条件、流程、申报材料等内容，帮助建设单位做好验收前的准备工作。各地可根据工作实际推行容缺受理、告知承诺办理等制度，对基本条件具备、主要申报材料齐全且符合法定形式，但次要条件或申请材料欠缺的建设项目，可先予受理，待建设单位在规定时间内补齐补正材料后，再出具验收意见。</w:t>
      </w:r>
    </w:p>
    <w:p w14:paraId="4A492C5B">
      <w:pPr>
        <w:widowControl w:val="0"/>
        <w:ind w:firstLine="643" w:firstLineChars="200"/>
      </w:pPr>
      <w:r>
        <w:rPr>
          <w:rFonts w:eastAsia="华文楷体"/>
          <w:b/>
          <w:bCs/>
        </w:rPr>
        <w:t>（四）加强宣传引导。</w:t>
      </w:r>
      <w:r>
        <w:t>各地有关部门要充分利用报纸、广播、电视、网络等渠道，做好政策解读、宣传等工作，提高企业和群众对建设项目联合验收“一件事”改革政策、办理渠道的知晓度，引导建设单位多用多试业务系统，推动联合验收业务流程和系统功能不断优化完善。积极总结提炼工作亮点和特色做法，形成典型案例材料，在全省复制推广。</w:t>
      </w:r>
    </w:p>
    <w:p w14:paraId="7437718D">
      <w:r>
        <w:br w:type="page"/>
      </w:r>
    </w:p>
    <w:p w14:paraId="0E0C2DE7">
      <w:pPr>
        <w:widowControl w:val="0"/>
        <w:rPr>
          <w:rFonts w:eastAsia="黑体"/>
        </w:rPr>
      </w:pPr>
      <w:r>
        <w:rPr>
          <w:rFonts w:eastAsia="黑体"/>
        </w:rPr>
        <w:t>附件：</w:t>
      </w:r>
    </w:p>
    <w:p w14:paraId="0449BE2E">
      <w:pPr>
        <w:widowControl w:val="0"/>
        <w:jc w:val="center"/>
        <w:rPr>
          <w:rFonts w:eastAsia="方正小标宋简体"/>
          <w:sz w:val="44"/>
          <w:szCs w:val="44"/>
        </w:rPr>
      </w:pPr>
      <w:r>
        <w:rPr>
          <w:rFonts w:eastAsia="方正小标宋简体"/>
          <w:sz w:val="44"/>
          <w:szCs w:val="44"/>
        </w:rPr>
        <w:t>竣工验收备案</w:t>
      </w:r>
      <w:r>
        <w:rPr>
          <w:rFonts w:hint="eastAsia" w:eastAsia="方正小标宋简体"/>
          <w:sz w:val="44"/>
          <w:szCs w:val="44"/>
        </w:rPr>
        <w:t>表</w:t>
      </w:r>
      <w:r>
        <w:rPr>
          <w:rFonts w:eastAsia="方正小标宋简体"/>
          <w:sz w:val="44"/>
          <w:szCs w:val="44"/>
        </w:rPr>
        <w:t>电子证照格式</w:t>
      </w:r>
    </w:p>
    <w:p w14:paraId="1C119439">
      <w:pPr>
        <w:widowControl w:val="0"/>
        <w:rPr>
          <w:rFonts w:eastAsia="宋体"/>
          <w:sz w:val="44"/>
          <w:szCs w:val="44"/>
        </w:rPr>
      </w:pPr>
    </w:p>
    <w:p w14:paraId="69701A4F">
      <w:pPr>
        <w:widowControl w:val="0"/>
        <w:ind w:firstLine="640" w:firstLineChars="200"/>
        <w:rPr>
          <w:rFonts w:hint="eastAsia" w:ascii="黑体" w:hAnsi="黑体" w:eastAsia="黑体"/>
          <w:szCs w:val="32"/>
        </w:rPr>
      </w:pPr>
      <w:r>
        <w:rPr>
          <w:rFonts w:hint="eastAsia" w:ascii="黑体" w:hAnsi="黑体" w:eastAsia="黑体"/>
          <w:szCs w:val="32"/>
        </w:rPr>
        <w:t>一、</w:t>
      </w:r>
      <w:r>
        <w:rPr>
          <w:rFonts w:ascii="黑体" w:hAnsi="黑体" w:eastAsia="黑体"/>
          <w:szCs w:val="32"/>
        </w:rPr>
        <w:t>幅面要求</w:t>
      </w:r>
    </w:p>
    <w:p w14:paraId="0CAE2D1B">
      <w:pPr>
        <w:widowControl w:val="0"/>
        <w:ind w:firstLine="640" w:firstLineChars="200"/>
        <w:rPr>
          <w:szCs w:val="32"/>
        </w:rPr>
      </w:pPr>
      <w:r>
        <w:rPr>
          <w:szCs w:val="32"/>
        </w:rPr>
        <w:t>竣工验收备案</w:t>
      </w:r>
      <w:r>
        <w:rPr>
          <w:rFonts w:hint="eastAsia"/>
          <w:szCs w:val="32"/>
        </w:rPr>
        <w:t>表</w:t>
      </w:r>
      <w:r>
        <w:rPr>
          <w:szCs w:val="32"/>
        </w:rPr>
        <w:t>电子证照为单页形式，正面幅面尺寸为297mm</w:t>
      </w:r>
      <w:r>
        <w:rPr>
          <w:rFonts w:hint="eastAsia"/>
          <w:szCs w:val="32"/>
        </w:rPr>
        <w:t>（宽）</w:t>
      </w:r>
      <w:r>
        <w:rPr>
          <w:szCs w:val="32"/>
        </w:rPr>
        <w:t>*210mm</w:t>
      </w:r>
      <w:r>
        <w:rPr>
          <w:rFonts w:hint="eastAsia"/>
          <w:szCs w:val="32"/>
        </w:rPr>
        <w:t>（高）</w:t>
      </w:r>
      <w:r>
        <w:rPr>
          <w:szCs w:val="32"/>
        </w:rPr>
        <w:t>。</w:t>
      </w:r>
    </w:p>
    <w:p w14:paraId="11052793">
      <w:pPr>
        <w:widowControl w:val="0"/>
        <w:ind w:firstLine="640" w:firstLineChars="200"/>
        <w:rPr>
          <w:rFonts w:hint="eastAsia" w:ascii="黑体" w:hAnsi="黑体" w:eastAsia="黑体"/>
          <w:szCs w:val="32"/>
        </w:rPr>
      </w:pPr>
      <w:r>
        <w:rPr>
          <w:rFonts w:hint="eastAsia" w:ascii="黑体" w:hAnsi="黑体" w:eastAsia="黑体"/>
          <w:szCs w:val="32"/>
        </w:rPr>
        <w:t>二、</w:t>
      </w:r>
      <w:r>
        <w:rPr>
          <w:rFonts w:ascii="黑体" w:hAnsi="黑体" w:eastAsia="黑体"/>
          <w:szCs w:val="32"/>
        </w:rPr>
        <w:t>电子证样式</w:t>
      </w:r>
    </w:p>
    <w:p w14:paraId="0DCBDFD0">
      <w:pPr>
        <w:widowControl w:val="0"/>
        <w:ind w:firstLine="640" w:firstLineChars="200"/>
        <w:rPr>
          <w:szCs w:val="32"/>
        </w:rPr>
      </w:pPr>
      <w:r>
        <w:rPr>
          <w:szCs w:val="32"/>
        </w:rPr>
        <w:t>竣工验收备案</w:t>
      </w:r>
      <w:r>
        <w:rPr>
          <w:rFonts w:hint="eastAsia"/>
          <w:szCs w:val="32"/>
        </w:rPr>
        <w:t>表</w:t>
      </w:r>
      <w:r>
        <w:rPr>
          <w:szCs w:val="32"/>
        </w:rPr>
        <w:t>电子证照展示基本内容包含：证书底纹、证书名称、编号、许可结论、许可内容、查询二维码、发证机关</w:t>
      </w:r>
      <w:r>
        <w:rPr>
          <w:rFonts w:hint="eastAsia"/>
          <w:szCs w:val="32"/>
        </w:rPr>
        <w:t>（</w:t>
      </w:r>
      <w:r>
        <w:rPr>
          <w:szCs w:val="32"/>
        </w:rPr>
        <w:t>印章</w:t>
      </w:r>
      <w:r>
        <w:rPr>
          <w:rFonts w:hint="eastAsia"/>
          <w:szCs w:val="32"/>
        </w:rPr>
        <w:t>）</w:t>
      </w:r>
      <w:r>
        <w:rPr>
          <w:szCs w:val="32"/>
        </w:rPr>
        <w:t>、发证日期。</w:t>
      </w:r>
    </w:p>
    <w:p w14:paraId="6155E4E2">
      <w:pPr>
        <w:widowControl w:val="0"/>
        <w:ind w:firstLine="640" w:firstLineChars="200"/>
        <w:rPr>
          <w:szCs w:val="32"/>
        </w:rPr>
      </w:pPr>
      <w:r>
        <w:rPr>
          <w:szCs w:val="32"/>
        </w:rPr>
        <w:drawing>
          <wp:anchor distT="0" distB="0" distL="114300" distR="114300" simplePos="0" relativeHeight="251659264" behindDoc="0" locked="0" layoutInCell="1" allowOverlap="1">
            <wp:simplePos x="0" y="0"/>
            <wp:positionH relativeFrom="column">
              <wp:posOffset>-54610</wp:posOffset>
            </wp:positionH>
            <wp:positionV relativeFrom="paragraph">
              <wp:posOffset>511175</wp:posOffset>
            </wp:positionV>
            <wp:extent cx="5273675" cy="3542030"/>
            <wp:effectExtent l="0" t="0" r="3175" b="1270"/>
            <wp:wrapSquare wrapText="bothSides"/>
            <wp:docPr id="7306683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668364"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273675" cy="3542030"/>
                    </a:xfrm>
                    <a:prstGeom prst="rect">
                      <a:avLst/>
                    </a:prstGeom>
                    <a:noFill/>
                  </pic:spPr>
                </pic:pic>
              </a:graphicData>
            </a:graphic>
          </wp:anchor>
        </w:drawing>
      </w:r>
      <w:r>
        <w:rPr>
          <w:szCs w:val="32"/>
        </w:rPr>
        <w:t>上述内容分左右两列排版，其版式文件样式见图。</w:t>
      </w:r>
    </w:p>
    <w:p w14:paraId="373AA664">
      <w:pPr>
        <w:widowControl w:val="0"/>
        <w:ind w:firstLine="640" w:firstLineChars="200"/>
        <w:rPr>
          <w:szCs w:val="32"/>
        </w:rPr>
      </w:pPr>
      <w:r>
        <w:rPr>
          <w:szCs w:val="32"/>
        </w:rPr>
        <w:t>备案</w:t>
      </w:r>
      <w:r>
        <w:rPr>
          <w:rFonts w:hint="eastAsia"/>
          <w:szCs w:val="32"/>
        </w:rPr>
        <w:t>表</w:t>
      </w:r>
      <w:r>
        <w:rPr>
          <w:szCs w:val="32"/>
        </w:rPr>
        <w:t>底色为白色，四周空白边距为4mm。</w:t>
      </w:r>
    </w:p>
    <w:p w14:paraId="600E2092">
      <w:pPr>
        <w:widowControl w:val="0"/>
        <w:ind w:firstLine="640" w:firstLineChars="200"/>
        <w:rPr>
          <w:szCs w:val="32"/>
        </w:rPr>
      </w:pPr>
      <w:r>
        <w:rPr>
          <w:szCs w:val="32"/>
        </w:rPr>
        <w:t>证书文字均为黑色，照面内容在左右两个矩形框内排版，左侧矩形</w:t>
      </w:r>
      <w:r>
        <w:rPr>
          <w:rFonts w:hint="eastAsia"/>
          <w:szCs w:val="32"/>
        </w:rPr>
        <w:t>框</w:t>
      </w:r>
      <w:r>
        <w:rPr>
          <w:szCs w:val="32"/>
        </w:rPr>
        <w:t>宽126mm，高186mm，左上角距页面</w:t>
      </w:r>
      <w:r>
        <w:rPr>
          <w:rFonts w:hint="eastAsia"/>
          <w:szCs w:val="32"/>
        </w:rPr>
        <w:t>左</w:t>
      </w:r>
      <w:r>
        <w:rPr>
          <w:szCs w:val="32"/>
        </w:rPr>
        <w:t>边缘17mm，距页面上边缘12mm。</w:t>
      </w:r>
    </w:p>
    <w:p w14:paraId="19045D81">
      <w:pPr>
        <w:widowControl w:val="0"/>
        <w:ind w:firstLine="640" w:firstLineChars="200"/>
        <w:rPr>
          <w:szCs w:val="32"/>
        </w:rPr>
      </w:pPr>
      <w:r>
        <w:rPr>
          <w:szCs w:val="32"/>
        </w:rPr>
        <w:t>证书名称字型为宋体，“房屋建筑工程和市政基础设施工程竣工验收备案”字号为20pt，加粗</w:t>
      </w:r>
      <w:r>
        <w:rPr>
          <w:rFonts w:hint="eastAsia"/>
          <w:szCs w:val="32"/>
        </w:rPr>
        <w:t>。</w:t>
      </w:r>
    </w:p>
    <w:p w14:paraId="5783D6E2">
      <w:pPr>
        <w:widowControl w:val="0"/>
        <w:ind w:firstLine="640" w:firstLineChars="200"/>
        <w:rPr>
          <w:szCs w:val="32"/>
        </w:rPr>
      </w:pPr>
      <w:r>
        <w:rPr>
          <w:rFonts w:hint="eastAsia"/>
          <w:szCs w:val="32"/>
        </w:rPr>
        <w:t>“编号：”字型为宋体，字号为11pt。</w:t>
      </w:r>
    </w:p>
    <w:p w14:paraId="77D77EB4">
      <w:pPr>
        <w:widowControl w:val="0"/>
        <w:ind w:firstLine="640" w:firstLineChars="200"/>
        <w:rPr>
          <w:szCs w:val="32"/>
        </w:rPr>
      </w:pPr>
      <w:r>
        <w:rPr>
          <w:rFonts w:hint="eastAsia"/>
          <w:szCs w:val="32"/>
        </w:rPr>
        <w:t>许可结论固定为“工程竣工验收备案文件已收讫”，字型为宋体，字号为13pt，加粗。</w:t>
      </w:r>
    </w:p>
    <w:p w14:paraId="2124C118">
      <w:pPr>
        <w:widowControl w:val="0"/>
        <w:ind w:firstLine="640" w:firstLineChars="200"/>
        <w:rPr>
          <w:szCs w:val="32"/>
        </w:rPr>
      </w:pPr>
      <w:r>
        <w:rPr>
          <w:rFonts w:hint="eastAsia"/>
          <w:szCs w:val="32"/>
        </w:rPr>
        <w:t>右侧许可内容为表格填写，备注格高度为48mm，其他表格高度均为11mm。</w:t>
      </w:r>
    </w:p>
    <w:p w14:paraId="1A107962">
      <w:pPr>
        <w:widowControl w:val="0"/>
        <w:ind w:firstLine="640" w:firstLineChars="200"/>
        <w:rPr>
          <w:szCs w:val="32"/>
        </w:rPr>
      </w:pPr>
      <w:r>
        <w:rPr>
          <w:rFonts w:hint="eastAsia"/>
          <w:szCs w:val="32"/>
        </w:rPr>
        <w:t>二维码位于证书边框内左下角，尺寸为25mm*25mm。</w:t>
      </w:r>
    </w:p>
    <w:p w14:paraId="050D58E8">
      <w:pPr>
        <w:widowControl w:val="0"/>
        <w:ind w:firstLine="640" w:firstLineChars="200"/>
        <w:rPr>
          <w:szCs w:val="32"/>
        </w:rPr>
      </w:pPr>
      <w:r>
        <w:rPr>
          <w:rFonts w:hint="eastAsia"/>
          <w:szCs w:val="32"/>
        </w:rPr>
        <w:t>发证机关及日期：宽度为50mm，高度为10mm，垂直居中对齐，字型为宋体，字号为12pt。</w:t>
      </w:r>
    </w:p>
    <w:p w14:paraId="6C186783">
      <w:pPr>
        <w:widowControl w:val="0"/>
        <w:ind w:firstLine="640" w:firstLineChars="200"/>
        <w:rPr>
          <w:szCs w:val="32"/>
        </w:rPr>
      </w:pPr>
      <w:r>
        <w:rPr>
          <w:rFonts w:hint="eastAsia"/>
          <w:szCs w:val="32"/>
        </w:rPr>
        <w:t>许可证印章尺寸为40mm*40mm。</w:t>
      </w:r>
    </w:p>
    <w:p w14:paraId="7F48055F">
      <w:pPr>
        <w:widowControl w:val="0"/>
        <w:ind w:firstLine="640" w:firstLineChars="200"/>
        <w:rPr>
          <w:szCs w:val="32"/>
        </w:rPr>
      </w:pPr>
      <w:r>
        <w:rPr>
          <w:rFonts w:hint="eastAsia"/>
          <w:szCs w:val="32"/>
        </w:rPr>
        <w:t>实体竣工验收备案表按照先生成电子证照再套打的方式生成，套打时不打印电子印章，打印到A4纸上，再进行加盖实物印章。</w:t>
      </w:r>
    </w:p>
    <w:sectPr>
      <w:footerReference r:id="rId5" w:type="default"/>
      <w:pgSz w:w="11906" w:h="16838"/>
      <w:pgMar w:top="1440" w:right="1800" w:bottom="1440" w:left="1800"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等线 Light">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方正黑体_GBK">
    <w:panose1 w:val="02000000000000000000"/>
    <w:charset w:val="86"/>
    <w:family w:val="auto"/>
    <w:pitch w:val="default"/>
    <w:sig w:usb0="00000001" w:usb1="08000000" w:usb2="00000000" w:usb3="00000000" w:csb0="00040000" w:csb1="00000000"/>
  </w:font>
  <w:font w:name="华文楷体">
    <w:altName w:val="方正楷体_GBK"/>
    <w:panose1 w:val="02010600040101010101"/>
    <w:charset w:val="86"/>
    <w:family w:val="auto"/>
    <w:pitch w:val="default"/>
    <w:sig w:usb0="00000000" w:usb1="00000000" w:usb2="00000010" w:usb3="00000000" w:csb0="0004009F"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DejaVu Sans">
    <w:panose1 w:val="020B0603030804020204"/>
    <w:charset w:val="00"/>
    <w:family w:val="auto"/>
    <w:pitch w:val="default"/>
    <w:sig w:usb0="E7006EFF" w:usb1="D200FDFF" w:usb2="0A246029" w:usb3="0400200C" w:csb0="600001FF" w:csb1="DFFF0000"/>
  </w:font>
  <w:font w:name="Noto Sans CJK JP Bold">
    <w:panose1 w:val="020B0800000000000000"/>
    <w:charset w:val="86"/>
    <w:family w:val="auto"/>
    <w:pitch w:val="default"/>
    <w:sig w:usb0="30000003" w:usb1="2BDF3C10" w:usb2="00000016" w:usb3="00000000" w:csb0="602E0107" w:csb1="00000000"/>
  </w:font>
  <w:font w:name="等线 Light">
    <w:altName w:val="国标仿宋"/>
    <w:panose1 w:val="00000000000000000000"/>
    <w:charset w:val="00"/>
    <w:family w:val="auto"/>
    <w:pitch w:val="default"/>
    <w:sig w:usb0="00000000" w:usb1="00000000" w:usb2="00000000" w:usb3="00000000" w:csb0="00000000" w:csb1="00000000"/>
  </w:font>
  <w:font w:name="国标仿宋">
    <w:panose1 w:val="02000500000000000000"/>
    <w:charset w:val="86"/>
    <w:family w:val="auto"/>
    <w:pitch w:val="default"/>
    <w:sig w:usb0="A00002BF" w:usb1="38C77CFA" w:usb2="00000016"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521434"/>
    </w:sdtPr>
    <w:sdtEndPr>
      <w:rPr>
        <w:rFonts w:ascii="宋体" w:hAnsi="宋体" w:eastAsia="宋体"/>
        <w:sz w:val="28"/>
        <w:szCs w:val="28"/>
      </w:rPr>
    </w:sdtEndPr>
    <w:sdtContent>
      <w:p w14:paraId="373B37D1">
        <w:pPr>
          <w:pStyle w:val="11"/>
          <w:jc w:val="center"/>
          <w:rPr>
            <w:rFonts w:hint="eastAsia"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9FE"/>
    <w:rsid w:val="000105D2"/>
    <w:rsid w:val="00025A86"/>
    <w:rsid w:val="00040D87"/>
    <w:rsid w:val="0004736C"/>
    <w:rsid w:val="0005039F"/>
    <w:rsid w:val="000902C8"/>
    <w:rsid w:val="000A264F"/>
    <w:rsid w:val="000B4209"/>
    <w:rsid w:val="001038C5"/>
    <w:rsid w:val="0010628E"/>
    <w:rsid w:val="0012662B"/>
    <w:rsid w:val="00131BFB"/>
    <w:rsid w:val="00175CD3"/>
    <w:rsid w:val="001848CE"/>
    <w:rsid w:val="001A5B60"/>
    <w:rsid w:val="001B5BEC"/>
    <w:rsid w:val="001C3358"/>
    <w:rsid w:val="001E0409"/>
    <w:rsid w:val="001F2B71"/>
    <w:rsid w:val="001F77B8"/>
    <w:rsid w:val="0022435D"/>
    <w:rsid w:val="002243BC"/>
    <w:rsid w:val="00285A1D"/>
    <w:rsid w:val="002F30B8"/>
    <w:rsid w:val="00311A0B"/>
    <w:rsid w:val="00327BF2"/>
    <w:rsid w:val="00335F11"/>
    <w:rsid w:val="003369F4"/>
    <w:rsid w:val="0034651D"/>
    <w:rsid w:val="00360F6B"/>
    <w:rsid w:val="00397A48"/>
    <w:rsid w:val="003E5CCA"/>
    <w:rsid w:val="00405950"/>
    <w:rsid w:val="00412E52"/>
    <w:rsid w:val="0042671A"/>
    <w:rsid w:val="00433978"/>
    <w:rsid w:val="0044394D"/>
    <w:rsid w:val="00444B67"/>
    <w:rsid w:val="00475178"/>
    <w:rsid w:val="004902D8"/>
    <w:rsid w:val="004A6365"/>
    <w:rsid w:val="004B1218"/>
    <w:rsid w:val="004D471F"/>
    <w:rsid w:val="004F3A9F"/>
    <w:rsid w:val="005009ED"/>
    <w:rsid w:val="005161D2"/>
    <w:rsid w:val="0053137C"/>
    <w:rsid w:val="00581CA1"/>
    <w:rsid w:val="00582576"/>
    <w:rsid w:val="005869F1"/>
    <w:rsid w:val="005B0ED6"/>
    <w:rsid w:val="005B3429"/>
    <w:rsid w:val="0062504F"/>
    <w:rsid w:val="00636DEB"/>
    <w:rsid w:val="006437B6"/>
    <w:rsid w:val="00670884"/>
    <w:rsid w:val="00671AC3"/>
    <w:rsid w:val="006731DB"/>
    <w:rsid w:val="006D6233"/>
    <w:rsid w:val="006F3982"/>
    <w:rsid w:val="00706DD3"/>
    <w:rsid w:val="00715B34"/>
    <w:rsid w:val="00720611"/>
    <w:rsid w:val="00733CA5"/>
    <w:rsid w:val="00740B86"/>
    <w:rsid w:val="00771004"/>
    <w:rsid w:val="00790D0D"/>
    <w:rsid w:val="00791621"/>
    <w:rsid w:val="007A4318"/>
    <w:rsid w:val="007E0B54"/>
    <w:rsid w:val="00817774"/>
    <w:rsid w:val="00824BB1"/>
    <w:rsid w:val="0083334C"/>
    <w:rsid w:val="00835809"/>
    <w:rsid w:val="00851274"/>
    <w:rsid w:val="00870C3E"/>
    <w:rsid w:val="008A65E3"/>
    <w:rsid w:val="008B6F47"/>
    <w:rsid w:val="008F13AF"/>
    <w:rsid w:val="009034E9"/>
    <w:rsid w:val="00905394"/>
    <w:rsid w:val="00946D36"/>
    <w:rsid w:val="00951C95"/>
    <w:rsid w:val="00962C8D"/>
    <w:rsid w:val="009A7879"/>
    <w:rsid w:val="009D3A8D"/>
    <w:rsid w:val="009E04D5"/>
    <w:rsid w:val="009E4934"/>
    <w:rsid w:val="009E74A2"/>
    <w:rsid w:val="00A107D9"/>
    <w:rsid w:val="00A14844"/>
    <w:rsid w:val="00A36340"/>
    <w:rsid w:val="00A37071"/>
    <w:rsid w:val="00AA1F57"/>
    <w:rsid w:val="00AC2A99"/>
    <w:rsid w:val="00AD1EE8"/>
    <w:rsid w:val="00AD218E"/>
    <w:rsid w:val="00AD2B70"/>
    <w:rsid w:val="00AD42BD"/>
    <w:rsid w:val="00B00A22"/>
    <w:rsid w:val="00B13CB5"/>
    <w:rsid w:val="00B422D8"/>
    <w:rsid w:val="00B458BB"/>
    <w:rsid w:val="00B4647F"/>
    <w:rsid w:val="00B931F8"/>
    <w:rsid w:val="00B9620A"/>
    <w:rsid w:val="00BE1045"/>
    <w:rsid w:val="00BE1388"/>
    <w:rsid w:val="00C41A2F"/>
    <w:rsid w:val="00C70C08"/>
    <w:rsid w:val="00C74865"/>
    <w:rsid w:val="00C758CA"/>
    <w:rsid w:val="00CD71DC"/>
    <w:rsid w:val="00CD741C"/>
    <w:rsid w:val="00CD7916"/>
    <w:rsid w:val="00D331EC"/>
    <w:rsid w:val="00D46471"/>
    <w:rsid w:val="00D5728B"/>
    <w:rsid w:val="00D621DF"/>
    <w:rsid w:val="00D8617A"/>
    <w:rsid w:val="00D86FAE"/>
    <w:rsid w:val="00DA1F88"/>
    <w:rsid w:val="00DB0CAB"/>
    <w:rsid w:val="00DB33BD"/>
    <w:rsid w:val="00DB7258"/>
    <w:rsid w:val="00DD751D"/>
    <w:rsid w:val="00DF2D26"/>
    <w:rsid w:val="00E10720"/>
    <w:rsid w:val="00E13ECC"/>
    <w:rsid w:val="00E1410B"/>
    <w:rsid w:val="00E16ED5"/>
    <w:rsid w:val="00E2406F"/>
    <w:rsid w:val="00E645FC"/>
    <w:rsid w:val="00E700B6"/>
    <w:rsid w:val="00E72883"/>
    <w:rsid w:val="00E74FC4"/>
    <w:rsid w:val="00E809D3"/>
    <w:rsid w:val="00E91E98"/>
    <w:rsid w:val="00EA3DB8"/>
    <w:rsid w:val="00EB7CC4"/>
    <w:rsid w:val="00F03006"/>
    <w:rsid w:val="00F24647"/>
    <w:rsid w:val="00F43640"/>
    <w:rsid w:val="00F668C5"/>
    <w:rsid w:val="00F763C3"/>
    <w:rsid w:val="00F919FE"/>
    <w:rsid w:val="00FA6ADE"/>
    <w:rsid w:val="00FB2E09"/>
    <w:rsid w:val="00FB60A3"/>
    <w:rsid w:val="00FE20FE"/>
    <w:rsid w:val="00FF3B3B"/>
    <w:rsid w:val="37CF5E41"/>
    <w:rsid w:val="3F18B1F5"/>
    <w:rsid w:val="637AC266"/>
    <w:rsid w:val="6FDFE7F5"/>
    <w:rsid w:val="73BF61C2"/>
    <w:rsid w:val="7FBDF23B"/>
    <w:rsid w:val="7FFF77E6"/>
    <w:rsid w:val="BDF464F7"/>
    <w:rsid w:val="BDFFBA92"/>
    <w:rsid w:val="DFDBE3EC"/>
    <w:rsid w:val="DFF56C46"/>
    <w:rsid w:val="EB3D820A"/>
    <w:rsid w:val="EF7E62D7"/>
    <w:rsid w:val="F57FD567"/>
    <w:rsid w:val="FFFFFB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仿宋_GB2312"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600" w:lineRule="exact"/>
      <w:jc w:val="both"/>
    </w:pPr>
    <w:rPr>
      <w:rFonts w:ascii="Times New Roman" w:hAnsi="Times New Roman" w:eastAsia="仿宋_GB2312" w:cs="Times New Roman"/>
      <w:kern w:val="2"/>
      <w:sz w:val="32"/>
      <w:szCs w:val="24"/>
      <w:lang w:val="en-US" w:eastAsia="zh-CN" w:bidi="ar-SA"/>
      <w14:ligatures w14:val="standardContextual"/>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Cs w:val="32"/>
    </w:rPr>
  </w:style>
  <w:style w:type="paragraph" w:styleId="5">
    <w:name w:val="heading 4"/>
    <w:basedOn w:val="1"/>
    <w:next w:val="1"/>
    <w:link w:val="21"/>
    <w:semiHidden/>
    <w:unhideWhenUsed/>
    <w:qFormat/>
    <w:uiPriority w:val="9"/>
    <w:pPr>
      <w:keepNext/>
      <w:keepLines/>
      <w:spacing w:before="80" w:after="40"/>
      <w:outlineLvl w:val="3"/>
    </w:pPr>
    <w:rPr>
      <w:rFonts w:asciiTheme="minorHAnsi" w:hAnsiTheme="minorHAnsi" w:eastAsiaTheme="minorEastAsia" w:cstheme="majorBidi"/>
      <w:color w:val="10486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asciiTheme="minorHAnsi" w:hAnsiTheme="minorHAnsi" w:eastAsiaTheme="minorEastAsia" w:cstheme="majorBidi"/>
      <w:color w:val="104862" w:themeColor="accent1" w:themeShade="BF"/>
      <w:sz w:val="24"/>
    </w:rPr>
  </w:style>
  <w:style w:type="paragraph" w:styleId="7">
    <w:name w:val="heading 6"/>
    <w:basedOn w:val="1"/>
    <w:next w:val="1"/>
    <w:link w:val="23"/>
    <w:semiHidden/>
    <w:unhideWhenUsed/>
    <w:qFormat/>
    <w:uiPriority w:val="9"/>
    <w:pPr>
      <w:keepNext/>
      <w:keepLines/>
      <w:spacing w:before="40"/>
      <w:outlineLvl w:val="5"/>
    </w:pPr>
    <w:rPr>
      <w:rFonts w:asciiTheme="minorHAnsi" w:hAnsiTheme="minorHAnsi" w:eastAsiaTheme="minorEastAsia" w:cstheme="majorBidi"/>
      <w:b/>
      <w:bCs/>
      <w:color w:val="104862" w:themeColor="accent1" w:themeShade="BF"/>
    </w:rPr>
  </w:style>
  <w:style w:type="paragraph" w:styleId="8">
    <w:name w:val="heading 7"/>
    <w:basedOn w:val="1"/>
    <w:next w:val="1"/>
    <w:link w:val="24"/>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spacing w:line="240" w:lineRule="atLeast"/>
      <w:jc w:val="left"/>
    </w:pPr>
    <w:rPr>
      <w:sz w:val="18"/>
      <w:szCs w:val="18"/>
    </w:rPr>
  </w:style>
  <w:style w:type="paragraph" w:styleId="12">
    <w:name w:val="header"/>
    <w:basedOn w:val="1"/>
    <w:link w:val="36"/>
    <w:unhideWhenUsed/>
    <w:qFormat/>
    <w:uiPriority w:val="99"/>
    <w:pPr>
      <w:tabs>
        <w:tab w:val="center" w:pos="4153"/>
        <w:tab w:val="right" w:pos="8306"/>
      </w:tabs>
      <w:snapToGrid w:val="0"/>
      <w:spacing w:line="240" w:lineRule="atLeast"/>
      <w:jc w:val="center"/>
    </w:pPr>
    <w:rPr>
      <w:sz w:val="18"/>
      <w:szCs w:val="18"/>
    </w:rPr>
  </w:style>
  <w:style w:type="paragraph" w:styleId="13">
    <w:name w:val="Subtitle"/>
    <w:basedOn w:val="1"/>
    <w:next w:val="1"/>
    <w:link w:val="2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1 字符"/>
    <w:basedOn w:val="17"/>
    <w:link w:val="2"/>
    <w:qFormat/>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104862" w:themeColor="accent1" w:themeShade="BF"/>
      <w:szCs w:val="32"/>
    </w:rPr>
  </w:style>
  <w:style w:type="character" w:customStyle="1" w:styleId="21">
    <w:name w:val="标题 4 字符"/>
    <w:basedOn w:val="17"/>
    <w:link w:val="5"/>
    <w:semiHidden/>
    <w:qFormat/>
    <w:uiPriority w:val="9"/>
    <w:rPr>
      <w:rFonts w:asciiTheme="minorHAnsi" w:hAnsiTheme="minorHAnsi" w:eastAsiaTheme="minorEastAsia" w:cstheme="majorBidi"/>
      <w:color w:val="104862" w:themeColor="accent1" w:themeShade="BF"/>
      <w:sz w:val="28"/>
      <w:szCs w:val="28"/>
    </w:rPr>
  </w:style>
  <w:style w:type="character" w:customStyle="1" w:styleId="22">
    <w:name w:val="标题 5 字符"/>
    <w:basedOn w:val="17"/>
    <w:link w:val="6"/>
    <w:semiHidden/>
    <w:qFormat/>
    <w:uiPriority w:val="9"/>
    <w:rPr>
      <w:rFonts w:asciiTheme="minorHAnsi" w:hAnsiTheme="minorHAnsi" w:eastAsiaTheme="minorEastAsia" w:cstheme="majorBidi"/>
      <w:color w:val="104862" w:themeColor="accent1" w:themeShade="BF"/>
      <w:sz w:val="24"/>
    </w:rPr>
  </w:style>
  <w:style w:type="character" w:customStyle="1" w:styleId="23">
    <w:name w:val="标题 6 字符"/>
    <w:basedOn w:val="17"/>
    <w:link w:val="7"/>
    <w:semiHidden/>
    <w:qFormat/>
    <w:uiPriority w:val="9"/>
    <w:rPr>
      <w:rFonts w:asciiTheme="minorHAnsi" w:hAnsiTheme="minorHAnsi" w:eastAsiaTheme="minorEastAsia" w:cstheme="majorBidi"/>
      <w:b/>
      <w:bCs/>
      <w:color w:val="104862" w:themeColor="accent1" w:themeShade="BF"/>
    </w:rPr>
  </w:style>
  <w:style w:type="character" w:customStyle="1" w:styleId="24">
    <w:name w:val="标题 7 字符"/>
    <w:basedOn w:val="17"/>
    <w:link w:val="8"/>
    <w:semiHidden/>
    <w:qFormat/>
    <w:uiPriority w:val="9"/>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明显强调1"/>
    <w:basedOn w:val="17"/>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7"/>
    <w:link w:val="33"/>
    <w:qFormat/>
    <w:uiPriority w:val="30"/>
    <w:rPr>
      <w:i/>
      <w:iCs/>
      <w:color w:val="104862" w:themeColor="accent1" w:themeShade="BF"/>
    </w:rPr>
  </w:style>
  <w:style w:type="character" w:customStyle="1" w:styleId="35">
    <w:name w:val="明显参考1"/>
    <w:basedOn w:val="17"/>
    <w:qFormat/>
    <w:uiPriority w:val="32"/>
    <w:rPr>
      <w:b/>
      <w:bCs/>
      <w:smallCaps/>
      <w:color w:val="104862" w:themeColor="accent1" w:themeShade="BF"/>
      <w:spacing w:val="5"/>
    </w:rPr>
  </w:style>
  <w:style w:type="character" w:customStyle="1" w:styleId="36">
    <w:name w:val="页眉 字符"/>
    <w:basedOn w:val="17"/>
    <w:link w:val="12"/>
    <w:qFormat/>
    <w:uiPriority w:val="99"/>
    <w:rPr>
      <w:sz w:val="18"/>
      <w:szCs w:val="18"/>
    </w:rPr>
  </w:style>
  <w:style w:type="character" w:customStyle="1" w:styleId="37">
    <w:name w:val="页脚 字符"/>
    <w:basedOn w:val="17"/>
    <w:link w:val="11"/>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9</Pages>
  <Words>566</Words>
  <Characters>3232</Characters>
  <Lines>26</Lines>
  <Paragraphs>7</Paragraphs>
  <TotalTime>382</TotalTime>
  <ScaleCrop>false</ScaleCrop>
  <LinksUpToDate>false</LinksUpToDate>
  <CharactersWithSpaces>3791</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2026-06-12T23:56:00Z</dcterms:created>
  <dc:creator>Lijun Yang</dc:creator>
  <cp:lastModifiedBy>THTF</cp:lastModifiedBy>
  <dcterms:modified xsi:type="dcterms:W3CDTF">2026-09-21T10:18:00Z</dcterms:modified>
  <cp:revision>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eyJoZGlkIjoiNjg4NTQ3ZGQ5ZjlmYzFhMDU5MjExMmY1ZTEzMjNjYWEiLCJ1c2VySWQiOiIxNDUxOTYyMjMzIn0=</vt:lpwstr>
  </property>
  <property fmtid="{D5CDD505-2E9C-101B-9397-08002B2CF9AE}" pid="3" name="KSOProductBuildVer">
    <vt:lpwstr>2052-12.8.2.1119</vt:lpwstr>
  </property>
  <property fmtid="{D5CDD505-2E9C-101B-9397-08002B2CF9AE}" pid="4" name="ICV">
    <vt:lpwstr>5EAC0B8F215A4A6F8AB9E591F7A53F10_12</vt:lpwstr>
  </property>
</Properties>
</file>